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hd w:fill="ffffff" w:val="clear"/>
        <w:jc w:val="center"/>
        <w:rPr/>
      </w:pPr>
      <w:bookmarkStart w:colFirst="0" w:colLast="0" w:name="_ifs6sw6sakoj" w:id="0"/>
      <w:bookmarkEnd w:id="0"/>
      <w:r w:rsidDel="00000000" w:rsidR="00000000" w:rsidRPr="00000000">
        <w:rPr>
          <w:rtl w:val="0"/>
        </w:rPr>
        <w:t xml:space="preserve">DBR TPC-DS benchmark Data Accessibility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shd w:fill="ffffff" w:val="clear"/>
        <w:rPr/>
      </w:pPr>
      <w:bookmarkStart w:colFirst="0" w:colLast="0" w:name="_owc8z4u2gs39" w:id="1"/>
      <w:bookmarkEnd w:id="1"/>
      <w:commentRangeStart w:id="0"/>
      <w:commentRangeStart w:id="1"/>
      <w:r w:rsidDel="00000000" w:rsidR="00000000" w:rsidRPr="00000000">
        <w:rPr>
          <w:rtl w:val="0"/>
        </w:rPr>
        <w:t xml:space="preserve">How is storage used on Databricks</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04">
      <w:pPr>
        <w:shd w:fill="ffffff" w:val="clear"/>
        <w:rPr>
          <w:rFonts w:ascii="Courier New" w:cs="Courier New" w:eastAsia="Courier New" w:hAnsi="Courier New"/>
          <w:b w:val="1"/>
          <w:color w:val="222222"/>
        </w:rPr>
      </w:pPr>
      <w:r w:rsidDel="00000000" w:rsidR="00000000" w:rsidRPr="00000000">
        <w:rPr>
          <w:rtl w:val="0"/>
        </w:rPr>
      </w:r>
    </w:p>
    <w:p w:rsidR="00000000" w:rsidDel="00000000" w:rsidP="00000000" w:rsidRDefault="00000000" w:rsidRPr="00000000" w14:paraId="00000005">
      <w:pPr>
        <w:shd w:fill="ffffff" w:val="clear"/>
        <w:rPr>
          <w:rFonts w:ascii="Courier New" w:cs="Courier New" w:eastAsia="Courier New" w:hAnsi="Courier New"/>
          <w:b w:val="1"/>
          <w:color w:val="222222"/>
        </w:rPr>
      </w:pPr>
      <w:r w:rsidDel="00000000" w:rsidR="00000000" w:rsidRPr="00000000">
        <w:rPr>
          <w:rFonts w:ascii="Courier New" w:cs="Courier New" w:eastAsia="Courier New" w:hAnsi="Courier New"/>
          <w:b w:val="1"/>
          <w:color w:val="222222"/>
          <w:rtl w:val="0"/>
        </w:rPr>
        <w:t xml:space="preserve">Storage</w:t>
      </w:r>
    </w:p>
    <w:p w:rsidR="00000000" w:rsidDel="00000000" w:rsidP="00000000" w:rsidRDefault="00000000" w:rsidRPr="00000000" w14:paraId="00000006">
      <w:pPr>
        <w:shd w:fill="ffffff" w:val="clear"/>
        <w:rPr>
          <w:rFonts w:ascii="Courier New" w:cs="Courier New" w:eastAsia="Courier New" w:hAnsi="Courier New"/>
          <w:color w:val="222222"/>
        </w:rPr>
      </w:pPr>
      <w:r w:rsidDel="00000000" w:rsidR="00000000" w:rsidRPr="00000000">
        <w:rPr>
          <w:rFonts w:ascii="Courier New" w:cs="Courier New" w:eastAsia="Courier New" w:hAnsi="Courier New"/>
          <w:color w:val="222222"/>
          <w:rtl w:val="0"/>
        </w:rPr>
        <w:t xml:space="preserve">Databrick </w:t>
      </w:r>
      <w:r w:rsidDel="00000000" w:rsidR="00000000" w:rsidRPr="00000000">
        <w:rPr>
          <w:rFonts w:ascii="Courier New" w:cs="Courier New" w:eastAsia="Courier New" w:hAnsi="Courier New"/>
          <w:color w:val="222222"/>
          <w:rtl w:val="0"/>
        </w:rPr>
        <w:t xml:space="preserve">uses object stores provided by the </w:t>
      </w:r>
      <w:r w:rsidDel="00000000" w:rsidR="00000000" w:rsidRPr="00000000">
        <w:rPr>
          <w:rFonts w:ascii="Courier New" w:cs="Courier New" w:eastAsia="Courier New" w:hAnsi="Courier New"/>
          <w:color w:val="222222"/>
          <w:rtl w:val="0"/>
        </w:rPr>
        <w:t xml:space="preserve">three major cloud providers</w:t>
      </w:r>
      <w:r w:rsidDel="00000000" w:rsidR="00000000" w:rsidRPr="00000000">
        <w:rPr>
          <w:rFonts w:ascii="Courier New" w:cs="Courier New" w:eastAsia="Courier New" w:hAnsi="Courier New"/>
          <w:color w:val="222222"/>
          <w:rtl w:val="0"/>
        </w:rPr>
        <w:t xml:space="preserve">. Databrick provides an abstraction over the cloud object store with Delta which stores both the data and the change log on the underlying object store and hence provides an equivalent guarantee as the underlying storage. Details in the </w:t>
      </w:r>
      <w:hyperlink r:id="rId7">
        <w:r w:rsidDel="00000000" w:rsidR="00000000" w:rsidRPr="00000000">
          <w:rPr>
            <w:rFonts w:ascii="Courier New" w:cs="Courier New" w:eastAsia="Courier New" w:hAnsi="Courier New"/>
            <w:color w:val="1155cc"/>
            <w:u w:val="single"/>
            <w:rtl w:val="0"/>
          </w:rPr>
          <w:t xml:space="preserve">Delta paper</w:t>
        </w:r>
      </w:hyperlink>
      <w:r w:rsidDel="00000000" w:rsidR="00000000" w:rsidRPr="00000000">
        <w:rPr>
          <w:rFonts w:ascii="Courier New" w:cs="Courier New" w:eastAsia="Courier New" w:hAnsi="Courier New"/>
          <w:color w:val="222222"/>
          <w:rtl w:val="0"/>
        </w:rPr>
        <w:t xml:space="preserve">.</w:t>
      </w:r>
    </w:p>
    <w:p w:rsidR="00000000" w:rsidDel="00000000" w:rsidP="00000000" w:rsidRDefault="00000000" w:rsidRPr="00000000" w14:paraId="00000007">
      <w:pPr>
        <w:shd w:fill="ffffff" w:val="clear"/>
        <w:rPr>
          <w:rFonts w:ascii="Courier New" w:cs="Courier New" w:eastAsia="Courier New" w:hAnsi="Courier New"/>
          <w:color w:val="222222"/>
        </w:rPr>
      </w:pPr>
      <w:r w:rsidDel="00000000" w:rsidR="00000000" w:rsidRPr="00000000">
        <w:rPr>
          <w:rtl w:val="0"/>
        </w:rPr>
      </w:r>
    </w:p>
    <w:p w:rsidR="00000000" w:rsidDel="00000000" w:rsidP="00000000" w:rsidRDefault="00000000" w:rsidRPr="00000000" w14:paraId="00000008">
      <w:pPr>
        <w:shd w:fill="ffffff" w:val="clear"/>
        <w:rPr>
          <w:rFonts w:ascii="Courier New" w:cs="Courier New" w:eastAsia="Courier New" w:hAnsi="Courier New"/>
          <w:b w:val="1"/>
          <w:color w:val="222222"/>
        </w:rPr>
      </w:pPr>
      <w:r w:rsidDel="00000000" w:rsidR="00000000" w:rsidRPr="00000000">
        <w:rPr>
          <w:rFonts w:ascii="Courier New" w:cs="Courier New" w:eastAsia="Courier New" w:hAnsi="Courier New"/>
          <w:b w:val="1"/>
          <w:color w:val="222222"/>
          <w:rtl w:val="0"/>
        </w:rPr>
        <w:t xml:space="preserve">Public Documentation</w:t>
      </w:r>
    </w:p>
    <w:p w:rsidR="00000000" w:rsidDel="00000000" w:rsidP="00000000" w:rsidRDefault="00000000" w:rsidRPr="00000000" w14:paraId="00000009">
      <w:pPr>
        <w:shd w:fill="ffffff" w:val="clear"/>
        <w:rPr>
          <w:rFonts w:ascii="Courier New" w:cs="Courier New" w:eastAsia="Courier New" w:hAnsi="Courier New"/>
          <w:color w:val="222222"/>
        </w:rPr>
      </w:pPr>
      <w:r w:rsidDel="00000000" w:rsidR="00000000" w:rsidRPr="00000000">
        <w:rPr>
          <w:rFonts w:ascii="Courier New" w:cs="Courier New" w:eastAsia="Courier New" w:hAnsi="Courier New"/>
          <w:color w:val="222222"/>
          <w:rtl w:val="0"/>
        </w:rPr>
        <w:t xml:space="preserve">This benchmark result was produced using the AWS S3 object store. </w:t>
      </w:r>
      <w:r w:rsidDel="00000000" w:rsidR="00000000" w:rsidRPr="00000000">
        <w:rPr>
          <w:rFonts w:ascii="Courier New" w:cs="Courier New" w:eastAsia="Courier New" w:hAnsi="Courier New"/>
          <w:color w:val="222222"/>
          <w:rtl w:val="0"/>
        </w:rPr>
        <w:t xml:space="preserve">The reliability features of the object stores are provided in the following documents: </w:t>
      </w:r>
    </w:p>
    <w:p w:rsidR="00000000" w:rsidDel="00000000" w:rsidP="00000000" w:rsidRDefault="00000000" w:rsidRPr="00000000" w14:paraId="0000000A">
      <w:pPr>
        <w:numPr>
          <w:ilvl w:val="0"/>
          <w:numId w:val="4"/>
        </w:numPr>
        <w:shd w:fill="ffffff" w:val="clear"/>
        <w:ind w:left="720" w:hanging="360"/>
        <w:rPr>
          <w:rFonts w:ascii="Courier New" w:cs="Courier New" w:eastAsia="Courier New" w:hAnsi="Courier New"/>
          <w:b w:val="1"/>
          <w:color w:val="222222"/>
          <w:u w:val="none"/>
        </w:rPr>
      </w:pPr>
      <w:r w:rsidDel="00000000" w:rsidR="00000000" w:rsidRPr="00000000">
        <w:rPr>
          <w:rFonts w:ascii="Courier New" w:cs="Courier New" w:eastAsia="Courier New" w:hAnsi="Courier New"/>
          <w:b w:val="1"/>
          <w:color w:val="222222"/>
          <w:rtl w:val="0"/>
        </w:rPr>
        <w:t xml:space="preserve">General AWS S3 Documentation</w:t>
      </w:r>
    </w:p>
    <w:p w:rsidR="00000000" w:rsidDel="00000000" w:rsidP="00000000" w:rsidRDefault="00000000" w:rsidRPr="00000000" w14:paraId="0000000B">
      <w:pPr>
        <w:shd w:fill="ffffff" w:val="clear"/>
        <w:ind w:firstLine="720"/>
        <w:rPr>
          <w:rFonts w:ascii="Courier New" w:cs="Courier New" w:eastAsia="Courier New" w:hAnsi="Courier New"/>
          <w:color w:val="1155cc"/>
          <w:u w:val="single"/>
        </w:rPr>
      </w:pPr>
      <w:hyperlink r:id="rId8">
        <w:r w:rsidDel="00000000" w:rsidR="00000000" w:rsidRPr="00000000">
          <w:rPr>
            <w:rFonts w:ascii="Courier New" w:cs="Courier New" w:eastAsia="Courier New" w:hAnsi="Courier New"/>
            <w:color w:val="1155cc"/>
            <w:u w:val="single"/>
            <w:rtl w:val="0"/>
          </w:rPr>
          <w:t xml:space="preserve">AWS S3 - 11 9's of durability</w:t>
        </w:r>
      </w:hyperlink>
      <w:r w:rsidDel="00000000" w:rsidR="00000000" w:rsidRPr="00000000">
        <w:rPr>
          <w:rtl w:val="0"/>
        </w:rPr>
      </w:r>
    </w:p>
    <w:p w:rsidR="00000000" w:rsidDel="00000000" w:rsidP="00000000" w:rsidRDefault="00000000" w:rsidRPr="00000000" w14:paraId="0000000C">
      <w:pPr>
        <w:numPr>
          <w:ilvl w:val="0"/>
          <w:numId w:val="1"/>
        </w:numPr>
        <w:shd w:fill="ffffff" w:val="clear"/>
        <w:ind w:left="720" w:hanging="360"/>
        <w:rPr>
          <w:rFonts w:ascii="Courier New" w:cs="Courier New" w:eastAsia="Courier New" w:hAnsi="Courier New"/>
          <w:b w:val="1"/>
          <w:color w:val="222222"/>
          <w:u w:val="none"/>
        </w:rPr>
      </w:pPr>
      <w:r w:rsidDel="00000000" w:rsidR="00000000" w:rsidRPr="00000000">
        <w:rPr>
          <w:rFonts w:ascii="Courier New" w:cs="Courier New" w:eastAsia="Courier New" w:hAnsi="Courier New"/>
          <w:b w:val="1"/>
          <w:color w:val="222222"/>
          <w:rtl w:val="0"/>
        </w:rPr>
        <w:t xml:space="preserve">Information on how data availability is achieved in AWS S3</w:t>
      </w:r>
    </w:p>
    <w:p w:rsidR="00000000" w:rsidDel="00000000" w:rsidP="00000000" w:rsidRDefault="00000000" w:rsidRPr="00000000" w14:paraId="0000000D">
      <w:pPr>
        <w:shd w:fill="ffffff" w:val="clear"/>
        <w:ind w:firstLine="720"/>
        <w:rPr/>
      </w:pPr>
      <w:hyperlink r:id="rId9">
        <w:r w:rsidDel="00000000" w:rsidR="00000000" w:rsidRPr="00000000">
          <w:rPr>
            <w:rFonts w:ascii="Courier New" w:cs="Courier New" w:eastAsia="Courier New" w:hAnsi="Courier New"/>
            <w:color w:val="1155cc"/>
            <w:u w:val="single"/>
            <w:rtl w:val="0"/>
          </w:rPr>
          <w:t xml:space="preserve">AWS S3</w:t>
        </w:r>
      </w:hyperlink>
      <w:r w:rsidDel="00000000" w:rsidR="00000000" w:rsidRPr="00000000">
        <w:rPr>
          <w:rtl w:val="0"/>
        </w:rPr>
      </w:r>
    </w:p>
    <w:p w:rsidR="00000000" w:rsidDel="00000000" w:rsidP="00000000" w:rsidRDefault="00000000" w:rsidRPr="00000000" w14:paraId="0000000E">
      <w:pPr>
        <w:pStyle w:val="Heading2"/>
        <w:shd w:fill="ffffff" w:val="clear"/>
        <w:rPr/>
      </w:pPr>
      <w:bookmarkStart w:colFirst="0" w:colLast="0" w:name="_amb3if9urh10" w:id="2"/>
      <w:bookmarkEnd w:id="2"/>
      <w:r w:rsidDel="00000000" w:rsidR="00000000" w:rsidRPr="00000000">
        <w:rPr>
          <w:rtl w:val="0"/>
        </w:rPr>
        <w:t xml:space="preserve">TPC-DS Data accessibility requirements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shd w:fill="ffffff" w:val="clear"/>
        <w:rPr>
          <w:rFonts w:ascii="Times New Roman" w:cs="Times New Roman" w:eastAsia="Times New Roman" w:hAnsi="Times New Roman"/>
          <w:color w:val="222222"/>
        </w:rPr>
      </w:pPr>
      <w:r w:rsidDel="00000000" w:rsidR="00000000" w:rsidRPr="00000000">
        <w:rPr>
          <w:rFonts w:ascii="Times New Roman" w:cs="Times New Roman" w:eastAsia="Times New Roman" w:hAnsi="Times New Roman"/>
          <w:color w:val="222222"/>
          <w:rtl w:val="0"/>
        </w:rPr>
        <w:t xml:space="preserve">The Data Accessibility Documentations </w:t>
      </w:r>
      <w:r w:rsidDel="00000000" w:rsidR="00000000" w:rsidRPr="00000000">
        <w:rPr>
          <w:rFonts w:ascii="Times New Roman" w:cs="Times New Roman" w:eastAsia="Times New Roman" w:hAnsi="Times New Roman"/>
          <w:color w:val="222222"/>
          <w:rtl w:val="0"/>
        </w:rPr>
        <w:t xml:space="preserve">must describe how data redundancy is accomplished</w:t>
      </w:r>
      <w:r w:rsidDel="00000000" w:rsidR="00000000" w:rsidRPr="00000000">
        <w:rPr>
          <w:rFonts w:ascii="Times New Roman" w:cs="Times New Roman" w:eastAsia="Times New Roman" w:hAnsi="Times New Roman"/>
          <w:color w:val="222222"/>
          <w:rtl w:val="0"/>
        </w:rPr>
        <w:t xml:space="preserve"> within the SUT. Following are some examples of such description:</w:t>
      </w:r>
    </w:p>
    <w:p w:rsidR="00000000" w:rsidDel="00000000" w:rsidP="00000000" w:rsidRDefault="00000000" w:rsidRPr="00000000" w14:paraId="00000011">
      <w:pPr>
        <w:numPr>
          <w:ilvl w:val="0"/>
          <w:numId w:val="5"/>
        </w:numPr>
        <w:shd w:fill="ffffff" w:val="clear"/>
        <w:ind w:left="720" w:hanging="360"/>
        <w:rPr>
          <w:color w:val="222222"/>
          <w:u w:val="none"/>
        </w:rPr>
      </w:pPr>
      <w:r w:rsidDel="00000000" w:rsidR="00000000" w:rsidRPr="00000000">
        <w:rPr>
          <w:rFonts w:ascii="Times New Roman" w:cs="Times New Roman" w:eastAsia="Times New Roman" w:hAnsi="Times New Roman"/>
          <w:color w:val="222222"/>
          <w:rtl w:val="0"/>
        </w:rPr>
        <w:t xml:space="preserve">Data Objects are stored on redundant devices (e.g. RAID 1, RAID 5)</w:t>
      </w:r>
    </w:p>
    <w:p w:rsidR="00000000" w:rsidDel="00000000" w:rsidP="00000000" w:rsidRDefault="00000000" w:rsidRPr="00000000" w14:paraId="00000012">
      <w:pPr>
        <w:numPr>
          <w:ilvl w:val="0"/>
          <w:numId w:val="5"/>
        </w:numPr>
        <w:shd w:fill="ffffff" w:val="clear"/>
        <w:ind w:left="720" w:hanging="360"/>
        <w:rPr>
          <w:color w:val="222222"/>
          <w:u w:val="none"/>
        </w:rPr>
      </w:pPr>
      <w:r w:rsidDel="00000000" w:rsidR="00000000" w:rsidRPr="00000000">
        <w:rPr>
          <w:rFonts w:ascii="Times New Roman" w:cs="Times New Roman" w:eastAsia="Times New Roman" w:hAnsi="Times New Roman"/>
          <w:color w:val="222222"/>
          <w:rtl w:val="0"/>
        </w:rPr>
        <w:t xml:space="preserve">Data Objects are redundantly stored on multiple storage devices in the same facility.</w:t>
      </w:r>
    </w:p>
    <w:p w:rsidR="00000000" w:rsidDel="00000000" w:rsidP="00000000" w:rsidRDefault="00000000" w:rsidRPr="00000000" w14:paraId="00000013">
      <w:pPr>
        <w:numPr>
          <w:ilvl w:val="0"/>
          <w:numId w:val="5"/>
        </w:numPr>
        <w:shd w:fill="ffffff" w:val="clear"/>
        <w:ind w:left="720" w:hanging="360"/>
        <w:rPr>
          <w:color w:val="222222"/>
          <w:u w:val="none"/>
        </w:rPr>
      </w:pPr>
      <w:r w:rsidDel="00000000" w:rsidR="00000000" w:rsidRPr="00000000">
        <w:rPr>
          <w:rFonts w:ascii="Times New Roman" w:cs="Times New Roman" w:eastAsia="Times New Roman" w:hAnsi="Times New Roman"/>
          <w:color w:val="222222"/>
          <w:rtl w:val="0"/>
        </w:rPr>
        <w:t xml:space="preserve">Data Objects are redundantly stored across multiple facilities.</w:t>
      </w:r>
    </w:p>
    <w:p w:rsidR="00000000" w:rsidDel="00000000" w:rsidP="00000000" w:rsidRDefault="00000000" w:rsidRPr="00000000" w14:paraId="00000014">
      <w:pPr>
        <w:numPr>
          <w:ilvl w:val="0"/>
          <w:numId w:val="5"/>
        </w:numPr>
        <w:shd w:fill="ffffff" w:val="clear"/>
        <w:ind w:left="720" w:hanging="360"/>
        <w:rPr>
          <w:color w:val="222222"/>
          <w:u w:val="none"/>
        </w:rPr>
      </w:pPr>
      <w:r w:rsidDel="00000000" w:rsidR="00000000" w:rsidRPr="00000000">
        <w:rPr>
          <w:rFonts w:ascii="Times New Roman" w:cs="Times New Roman" w:eastAsia="Times New Roman" w:hAnsi="Times New Roman"/>
          <w:color w:val="222222"/>
          <w:rtl w:val="0"/>
        </w:rPr>
        <w:t xml:space="preserve">Data Objects are redundantly stored across data centers in multiple regions.</w:t>
      </w:r>
    </w:p>
    <w:p w:rsidR="00000000" w:rsidDel="00000000" w:rsidP="00000000" w:rsidRDefault="00000000" w:rsidRPr="00000000" w14:paraId="00000015">
      <w:pPr>
        <w:shd w:fill="ffffff" w:val="clear"/>
        <w:rPr>
          <w:color w:val="222222"/>
        </w:rPr>
      </w:pPr>
      <w:r w:rsidDel="00000000" w:rsidR="00000000" w:rsidRPr="00000000">
        <w:rPr>
          <w:rtl w:val="0"/>
        </w:rPr>
      </w:r>
    </w:p>
    <w:p w:rsidR="00000000" w:rsidDel="00000000" w:rsidP="00000000" w:rsidRDefault="00000000" w:rsidRPr="00000000" w14:paraId="00000016">
      <w:pPr>
        <w:shd w:fill="ffffff" w:val="clear"/>
        <w:rPr>
          <w:rFonts w:ascii="Times New Roman" w:cs="Times New Roman" w:eastAsia="Times New Roman" w:hAnsi="Times New Roman"/>
          <w:color w:val="222222"/>
        </w:rPr>
      </w:pPr>
      <w:r w:rsidDel="00000000" w:rsidR="00000000" w:rsidRPr="00000000">
        <w:rPr>
          <w:rFonts w:ascii="Times New Roman" w:cs="Times New Roman" w:eastAsia="Times New Roman" w:hAnsi="Times New Roman"/>
          <w:color w:val="222222"/>
          <w:sz w:val="14"/>
          <w:szCs w:val="14"/>
          <w:rtl w:val="0"/>
        </w:rPr>
        <w:t xml:space="preserve"> </w:t>
      </w:r>
      <w:r w:rsidDel="00000000" w:rsidR="00000000" w:rsidRPr="00000000">
        <w:rPr>
          <w:rFonts w:ascii="Times New Roman" w:cs="Times New Roman" w:eastAsia="Times New Roman" w:hAnsi="Times New Roman"/>
          <w:color w:val="222222"/>
          <w:rtl w:val="0"/>
        </w:rPr>
        <w:t xml:space="preserve">The following features must be supported by the SUT and described in the Data Accessibility Documentation:</w:t>
      </w:r>
    </w:p>
    <w:p w:rsidR="00000000" w:rsidDel="00000000" w:rsidP="00000000" w:rsidRDefault="00000000" w:rsidRPr="00000000" w14:paraId="00000017">
      <w:pPr>
        <w:numPr>
          <w:ilvl w:val="0"/>
          <w:numId w:val="2"/>
        </w:numPr>
        <w:shd w:fill="ffffff" w:val="clear"/>
        <w:ind w:left="720" w:hanging="360"/>
        <w:rPr>
          <w:rFonts w:ascii="Times New Roman" w:cs="Times New Roman" w:eastAsia="Times New Roman" w:hAnsi="Times New Roman"/>
          <w:color w:val="222222"/>
        </w:rPr>
      </w:pPr>
      <w:r w:rsidDel="00000000" w:rsidR="00000000" w:rsidRPr="00000000">
        <w:rPr>
          <w:rFonts w:ascii="Times New Roman" w:cs="Times New Roman" w:eastAsia="Times New Roman" w:hAnsi="Times New Roman"/>
          <w:color w:val="222222"/>
          <w:rtl w:val="0"/>
        </w:rPr>
        <w:t xml:space="preserve">Synchronous writes</w:t>
      </w:r>
      <w:r w:rsidDel="00000000" w:rsidR="00000000" w:rsidRPr="00000000">
        <w:rPr>
          <w:rFonts w:ascii="Times New Roman" w:cs="Times New Roman" w:eastAsia="Times New Roman" w:hAnsi="Times New Roman"/>
          <w:color w:val="222222"/>
          <w:rtl w:val="0"/>
        </w:rPr>
        <w:t xml:space="preserve">: The redundant writes of multiple copies of Data Objects to multiple storage devices are executed synchronously.</w:t>
      </w:r>
    </w:p>
    <w:p w:rsidR="00000000" w:rsidDel="00000000" w:rsidP="00000000" w:rsidRDefault="00000000" w:rsidRPr="00000000" w14:paraId="00000018">
      <w:pPr>
        <w:numPr>
          <w:ilvl w:val="0"/>
          <w:numId w:val="2"/>
        </w:numPr>
        <w:shd w:fill="ffffff" w:val="clear"/>
        <w:ind w:left="720" w:hanging="360"/>
        <w:rPr>
          <w:rFonts w:ascii="Times New Roman" w:cs="Times New Roman" w:eastAsia="Times New Roman" w:hAnsi="Times New Roman"/>
          <w:color w:val="222222"/>
          <w:u w:val="none"/>
        </w:rPr>
      </w:pPr>
      <w:r w:rsidDel="00000000" w:rsidR="00000000" w:rsidRPr="00000000">
        <w:rPr>
          <w:rFonts w:ascii="Times New Roman" w:cs="Times New Roman" w:eastAsia="Times New Roman" w:hAnsi="Times New Roman"/>
          <w:color w:val="222222"/>
          <w:rtl w:val="0"/>
        </w:rPr>
        <w:t xml:space="preserve">Automatic repair</w:t>
      </w:r>
      <w:r w:rsidDel="00000000" w:rsidR="00000000" w:rsidRPr="00000000">
        <w:rPr>
          <w:rFonts w:ascii="Times New Roman" w:cs="Times New Roman" w:eastAsia="Times New Roman" w:hAnsi="Times New Roman"/>
          <w:color w:val="222222"/>
          <w:rtl w:val="0"/>
        </w:rPr>
        <w:t xml:space="preserve">: Any loss of redundancy of a Data Object is automatically repaired without any operator intervention.</w:t>
      </w:r>
      <w:r w:rsidDel="00000000" w:rsidR="00000000" w:rsidRPr="00000000">
        <w:rPr>
          <w:rtl w:val="0"/>
        </w:rPr>
      </w:r>
    </w:p>
    <w:p w:rsidR="00000000" w:rsidDel="00000000" w:rsidP="00000000" w:rsidRDefault="00000000" w:rsidRPr="00000000" w14:paraId="00000019">
      <w:pPr>
        <w:pBdr>
          <w:top w:color="auto" w:space="3" w:sz="0" w:val="none"/>
        </w:pBdr>
        <w:spacing w:before="220" w:lineRule="auto"/>
        <w:rPr>
          <w:rFonts w:ascii="Helvetica Neue" w:cs="Helvetica Neue" w:eastAsia="Helvetica Neue" w:hAnsi="Helvetica Neue"/>
          <w:color w:val="232f3e"/>
          <w:sz w:val="24"/>
          <w:szCs w:val="24"/>
        </w:rPr>
      </w:pPr>
      <w:r w:rsidDel="00000000" w:rsidR="00000000" w:rsidRPr="00000000">
        <w:rPr>
          <w:rFonts w:ascii="Helvetica Neue" w:cs="Helvetica Neue" w:eastAsia="Helvetica Neue" w:hAnsi="Helvetica Neue"/>
          <w:color w:val="232f3e"/>
          <w:sz w:val="24"/>
          <w:szCs w:val="24"/>
          <w:rtl w:val="0"/>
        </w:rPr>
        <w:t xml:space="preserve">Amazon S3 Standard, S3 Standard-IA, and S3 Glacier storage classes redundantly </w:t>
      </w:r>
      <w:commentRangeStart w:id="2"/>
      <w:commentRangeStart w:id="3"/>
      <w:r w:rsidDel="00000000" w:rsidR="00000000" w:rsidRPr="00000000">
        <w:rPr>
          <w:rFonts w:ascii="Helvetica Neue" w:cs="Helvetica Neue" w:eastAsia="Helvetica Neue" w:hAnsi="Helvetica Neue"/>
          <w:color w:val="232f3e"/>
          <w:sz w:val="24"/>
          <w:szCs w:val="24"/>
          <w:rtl w:val="0"/>
        </w:rPr>
        <w:t xml:space="preserve">store your objects on multiple devices across a minimum of three Availability Zones (AZs) in an Amazon S3 Region before returning SUCCESS</w:t>
      </w:r>
      <w:commentRangeEnd w:id="2"/>
      <w:r w:rsidDel="00000000" w:rsidR="00000000" w:rsidRPr="00000000">
        <w:commentReference w:id="2"/>
      </w:r>
      <w:commentRangeEnd w:id="3"/>
      <w:r w:rsidDel="00000000" w:rsidR="00000000" w:rsidRPr="00000000">
        <w:commentReference w:id="3"/>
      </w:r>
      <w:r w:rsidDel="00000000" w:rsidR="00000000" w:rsidRPr="00000000">
        <w:rPr>
          <w:rFonts w:ascii="Helvetica Neue" w:cs="Helvetica Neue" w:eastAsia="Helvetica Neue" w:hAnsi="Helvetica Neue"/>
          <w:color w:val="232f3e"/>
          <w:sz w:val="24"/>
          <w:szCs w:val="24"/>
          <w:rtl w:val="0"/>
        </w:rPr>
        <w:t xml:space="preserve">. The S3 One Zone-IA storage class stores data redundantly across multiple devices within a single AZ. These services are designed to sustain concurrent </w:t>
      </w:r>
      <w:commentRangeStart w:id="4"/>
      <w:r w:rsidDel="00000000" w:rsidR="00000000" w:rsidRPr="00000000">
        <w:rPr>
          <w:rFonts w:ascii="Helvetica Neue" w:cs="Helvetica Neue" w:eastAsia="Helvetica Neue" w:hAnsi="Helvetica Neue"/>
          <w:color w:val="232f3e"/>
          <w:sz w:val="24"/>
          <w:szCs w:val="24"/>
          <w:rtl w:val="0"/>
        </w:rPr>
        <w:t xml:space="preserve">device failures by quickly detecting and repairing any lost redundancy</w:t>
      </w:r>
      <w:commentRangeEnd w:id="4"/>
      <w:r w:rsidDel="00000000" w:rsidR="00000000" w:rsidRPr="00000000">
        <w:commentReference w:id="4"/>
      </w:r>
      <w:r w:rsidDel="00000000" w:rsidR="00000000" w:rsidRPr="00000000">
        <w:rPr>
          <w:rFonts w:ascii="Helvetica Neue" w:cs="Helvetica Neue" w:eastAsia="Helvetica Neue" w:hAnsi="Helvetica Neue"/>
          <w:color w:val="232f3e"/>
          <w:sz w:val="24"/>
          <w:szCs w:val="24"/>
          <w:rtl w:val="0"/>
        </w:rPr>
        <w:t xml:space="preserve">, and they also regularly verify the integrity of your data using checksums.</w:t>
      </w:r>
    </w:p>
    <w:p w:rsidR="00000000" w:rsidDel="00000000" w:rsidP="00000000" w:rsidRDefault="00000000" w:rsidRPr="00000000" w14:paraId="0000001A">
      <w:pPr>
        <w:spacing w:after="220" w:lineRule="auto"/>
        <w:rPr/>
      </w:pPr>
      <w:r w:rsidDel="00000000" w:rsidR="00000000" w:rsidRPr="00000000">
        <w:rPr>
          <w:b w:val="1"/>
          <w:rtl w:val="0"/>
        </w:rPr>
        <w:t xml:space="preserve">Documentation</w:t>
      </w:r>
      <w:r w:rsidDel="00000000" w:rsidR="00000000" w:rsidRPr="00000000">
        <w:rPr>
          <w:rtl w:val="0"/>
        </w:rPr>
        <w:t xml:space="preserve">: </w:t>
      </w:r>
      <w:hyperlink r:id="rId10">
        <w:r w:rsidDel="00000000" w:rsidR="00000000" w:rsidRPr="00000000">
          <w:rPr>
            <w:rFonts w:ascii="Helvetica Neue" w:cs="Helvetica Neue" w:eastAsia="Helvetica Neue" w:hAnsi="Helvetica Neue"/>
            <w:color w:val="1155cc"/>
            <w:sz w:val="24"/>
            <w:szCs w:val="24"/>
            <w:u w:val="single"/>
            <w:rtl w:val="0"/>
          </w:rPr>
          <w:t xml:space="preserve">Data redundancy within Amazon S3 </w:t>
        </w:r>
      </w:hyperlink>
      <w:r w:rsidDel="00000000" w:rsidR="00000000" w:rsidRPr="00000000">
        <w:rPr>
          <w:rtl w:val="0"/>
        </w:rPr>
      </w:r>
    </w:p>
    <w:p w:rsidR="00000000" w:rsidDel="00000000" w:rsidP="00000000" w:rsidRDefault="00000000" w:rsidRPr="00000000" w14:paraId="0000001B">
      <w:pPr>
        <w:pBdr>
          <w:top w:color="auto" w:space="3" w:sz="0" w:val="none"/>
        </w:pBdr>
        <w:spacing w:after="220" w:before="220" w:lineRule="auto"/>
        <w:rPr>
          <w:rFonts w:ascii="Helvetica Neue" w:cs="Helvetica Neue" w:eastAsia="Helvetica Neue" w:hAnsi="Helvetica Neue"/>
          <w:color w:val="232f3e"/>
          <w:sz w:val="24"/>
          <w:szCs w:val="24"/>
        </w:rPr>
      </w:pPr>
      <w:r w:rsidDel="00000000" w:rsidR="00000000" w:rsidRPr="00000000">
        <w:rPr>
          <w:rFonts w:ascii="Helvetica Neue" w:cs="Helvetica Neue" w:eastAsia="Helvetica Neue" w:hAnsi="Helvetica Neue"/>
          <w:color w:val="232f3e"/>
          <w:sz w:val="24"/>
          <w:szCs w:val="24"/>
          <w:rtl w:val="0"/>
        </w:rPr>
        <w:t xml:space="preserve">Amazon S3 Standard, S3 Standard–IA, S3 Intelligent-Tiering, S3 One Zone-IA, S3 Glacier, and S3 Glacier Deep Archive are all designed to provide 99.999999999% (11 9's) of data durability of objects over a given year. This durability level corresponds to an average annual expected loss of 0.000000001% of objects. For example, if you store 10,000,000 objects with Amazon S3, you can on average expect to incur a loss of a single object once every 10,000 years. S3 on Outposts is designed to durably and redundantly store data across multiple devices and servers on your Outpost. In addition, Amazon S3 Standard, S3 Standard-IA, S3 Glacier, and S3 Glacier Deep Archive are all designed to sustain data in the event of an entire S3 Availability Zone loss.</w:t>
      </w:r>
    </w:p>
    <w:p w:rsidR="00000000" w:rsidDel="00000000" w:rsidP="00000000" w:rsidRDefault="00000000" w:rsidRPr="00000000" w14:paraId="0000001C">
      <w:pPr>
        <w:pBdr>
          <w:top w:color="auto" w:space="3" w:sz="0" w:val="none"/>
        </w:pBdr>
        <w:spacing w:after="220" w:before="220" w:lineRule="auto"/>
        <w:rPr>
          <w:rFonts w:ascii="Helvetica Neue" w:cs="Helvetica Neue" w:eastAsia="Helvetica Neue" w:hAnsi="Helvetica Neue"/>
          <w:color w:val="232f3e"/>
          <w:sz w:val="24"/>
          <w:szCs w:val="24"/>
        </w:rPr>
      </w:pPr>
      <w:r w:rsidDel="00000000" w:rsidR="00000000" w:rsidRPr="00000000">
        <w:rPr>
          <w:rFonts w:ascii="Helvetica Neue" w:cs="Helvetica Neue" w:eastAsia="Helvetica Neue" w:hAnsi="Helvetica Neue"/>
          <w:b w:val="1"/>
          <w:color w:val="232f3e"/>
          <w:sz w:val="24"/>
          <w:szCs w:val="24"/>
          <w:rtl w:val="0"/>
        </w:rPr>
        <w:t xml:space="preserve">Documentation</w:t>
      </w:r>
      <w:r w:rsidDel="00000000" w:rsidR="00000000" w:rsidRPr="00000000">
        <w:rPr>
          <w:rFonts w:ascii="Helvetica Neue" w:cs="Helvetica Neue" w:eastAsia="Helvetica Neue" w:hAnsi="Helvetica Neue"/>
          <w:color w:val="232f3e"/>
          <w:sz w:val="24"/>
          <w:szCs w:val="24"/>
          <w:rtl w:val="0"/>
        </w:rPr>
        <w:t xml:space="preserve">: </w:t>
      </w:r>
      <w:hyperlink r:id="rId11">
        <w:r w:rsidDel="00000000" w:rsidR="00000000" w:rsidRPr="00000000">
          <w:rPr>
            <w:rFonts w:ascii="Helvetica Neue" w:cs="Helvetica Neue" w:eastAsia="Helvetica Neue" w:hAnsi="Helvetica Neue"/>
            <w:color w:val="1155cc"/>
            <w:sz w:val="24"/>
            <w:szCs w:val="24"/>
            <w:u w:val="single"/>
            <w:rtl w:val="0"/>
          </w:rPr>
          <w:t xml:space="preserve">Data accessibility features supported by Amazon S3</w:t>
        </w:r>
      </w:hyperlink>
      <w:r w:rsidDel="00000000" w:rsidR="00000000" w:rsidRPr="00000000">
        <w:rPr>
          <w:rtl w:val="0"/>
        </w:rPr>
      </w:r>
    </w:p>
    <w:p w:rsidR="00000000" w:rsidDel="00000000" w:rsidP="00000000" w:rsidRDefault="00000000" w:rsidRPr="00000000" w14:paraId="0000001D">
      <w:pPr>
        <w:pStyle w:val="Heading2"/>
        <w:shd w:fill="ffffff" w:val="clear"/>
        <w:rPr/>
      </w:pPr>
      <w:bookmarkStart w:colFirst="0" w:colLast="0" w:name="_5fn9fl31xnc" w:id="3"/>
      <w:bookmarkEnd w:id="3"/>
      <w:r w:rsidDel="00000000" w:rsidR="00000000" w:rsidRPr="00000000">
        <w:rPr>
          <w:rtl w:val="0"/>
        </w:rPr>
        <w:t xml:space="preserve">Screen-capture</w:t>
      </w:r>
    </w:p>
    <w:p w:rsidR="00000000" w:rsidDel="00000000" w:rsidP="00000000" w:rsidRDefault="00000000" w:rsidRPr="00000000" w14:paraId="0000001E">
      <w:pPr>
        <w:pBdr>
          <w:top w:color="auto" w:space="3" w:sz="0" w:val="none"/>
        </w:pBdr>
        <w:spacing w:before="220" w:lineRule="auto"/>
        <w:rPr>
          <w:rFonts w:ascii="Helvetica Neue" w:cs="Helvetica Neue" w:eastAsia="Helvetica Neue" w:hAnsi="Helvetica Neue"/>
          <w:color w:val="232f3e"/>
          <w:sz w:val="24"/>
          <w:szCs w:val="24"/>
        </w:rPr>
      </w:pPr>
      <w:r w:rsidDel="00000000" w:rsidR="00000000" w:rsidRPr="00000000">
        <w:rPr>
          <w:rFonts w:ascii="Helvetica Neue" w:cs="Helvetica Neue" w:eastAsia="Helvetica Neue" w:hAnsi="Helvetica Neue"/>
          <w:color w:val="232f3e"/>
          <w:sz w:val="24"/>
          <w:szCs w:val="24"/>
          <w:rtl w:val="0"/>
        </w:rPr>
        <w:t xml:space="preserve">Aug 26, 2021</w:t>
      </w:r>
      <w:r w:rsidDel="00000000" w:rsidR="00000000" w:rsidRPr="00000000">
        <w:rPr>
          <w:rtl w:val="0"/>
        </w:rPr>
      </w:r>
    </w:p>
    <w:p w:rsidR="00000000" w:rsidDel="00000000" w:rsidP="00000000" w:rsidRDefault="00000000" w:rsidRPr="00000000" w14:paraId="0000001F">
      <w:pPr>
        <w:pBdr>
          <w:top w:color="auto" w:space="3" w:sz="0" w:val="none"/>
        </w:pBdr>
        <w:spacing w:before="220" w:lineRule="auto"/>
        <w:rPr>
          <w:rFonts w:ascii="Helvetica Neue" w:cs="Helvetica Neue" w:eastAsia="Helvetica Neue" w:hAnsi="Helvetica Neue"/>
          <w:color w:val="232f3e"/>
          <w:sz w:val="24"/>
          <w:szCs w:val="24"/>
        </w:rPr>
      </w:pPr>
      <w:r w:rsidDel="00000000" w:rsidR="00000000" w:rsidRPr="00000000">
        <w:rPr>
          <w:rFonts w:ascii="Helvetica Neue" w:cs="Helvetica Neue" w:eastAsia="Helvetica Neue" w:hAnsi="Helvetica Neue"/>
          <w:color w:val="232f3e"/>
          <w:sz w:val="24"/>
          <w:szCs w:val="24"/>
        </w:rPr>
        <w:drawing>
          <wp:inline distB="114300" distT="114300" distL="114300" distR="114300">
            <wp:extent cx="5943600" cy="2946400"/>
            <wp:effectExtent b="0" l="0" r="0" t="0"/>
            <wp:docPr id="1"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5943600" cy="294640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pStyle w:val="Heading2"/>
        <w:shd w:fill="ffffff" w:val="clear"/>
        <w:rPr/>
      </w:pPr>
      <w:bookmarkStart w:colFirst="0" w:colLast="0" w:name="_bo0mnzc26c9o" w:id="4"/>
      <w:bookmarkEnd w:id="4"/>
      <w:r w:rsidDel="00000000" w:rsidR="00000000" w:rsidRPr="00000000">
        <w:rPr>
          <w:rtl w:val="0"/>
        </w:rPr>
        <w:t xml:space="preserve">References</w:t>
      </w:r>
    </w:p>
    <w:p w:rsidR="00000000" w:rsidDel="00000000" w:rsidP="00000000" w:rsidRDefault="00000000" w:rsidRPr="00000000" w14:paraId="00000021">
      <w:pPr>
        <w:numPr>
          <w:ilvl w:val="0"/>
          <w:numId w:val="3"/>
        </w:numPr>
        <w:ind w:left="720" w:hanging="360"/>
        <w:rPr>
          <w:u w:val="none"/>
        </w:rPr>
      </w:pPr>
      <w:hyperlink r:id="rId13">
        <w:r w:rsidDel="00000000" w:rsidR="00000000" w:rsidRPr="00000000">
          <w:rPr>
            <w:color w:val="1155cc"/>
            <w:u w:val="single"/>
            <w:rtl w:val="0"/>
          </w:rPr>
          <w:t xml:space="preserve">https://aws.amazon.com/s3/faqs/</w:t>
        </w:r>
      </w:hyperlink>
      <w:r w:rsidDel="00000000" w:rsidR="00000000" w:rsidRPr="00000000">
        <w:rPr>
          <w:rtl w:val="0"/>
        </w:rPr>
      </w:r>
    </w:p>
    <w:p w:rsidR="00000000" w:rsidDel="00000000" w:rsidP="00000000" w:rsidRDefault="00000000" w:rsidRPr="00000000" w14:paraId="00000022">
      <w:pPr>
        <w:numPr>
          <w:ilvl w:val="0"/>
          <w:numId w:val="3"/>
        </w:numPr>
        <w:ind w:left="720" w:hanging="360"/>
        <w:rPr>
          <w:u w:val="none"/>
        </w:rPr>
      </w:pPr>
      <w:hyperlink r:id="rId14">
        <w:r w:rsidDel="00000000" w:rsidR="00000000" w:rsidRPr="00000000">
          <w:rPr>
            <w:color w:val="1155cc"/>
            <w:u w:val="single"/>
            <w:rtl w:val="0"/>
          </w:rPr>
          <w:t xml:space="preserve">https://aws.amazon.com/s3/sla/</w:t>
        </w:r>
      </w:hyperlink>
      <w:r w:rsidDel="00000000" w:rsidR="00000000" w:rsidRPr="00000000">
        <w:rPr>
          <w:rtl w:val="0"/>
        </w:rPr>
      </w:r>
    </w:p>
    <w:p w:rsidR="00000000" w:rsidDel="00000000" w:rsidP="00000000" w:rsidRDefault="00000000" w:rsidRPr="00000000" w14:paraId="00000023">
      <w:pPr>
        <w:numPr>
          <w:ilvl w:val="0"/>
          <w:numId w:val="3"/>
        </w:numPr>
        <w:ind w:left="720" w:hanging="360"/>
        <w:rPr>
          <w:u w:val="none"/>
        </w:rPr>
      </w:pPr>
      <w:hyperlink r:id="rId15">
        <w:r w:rsidDel="00000000" w:rsidR="00000000" w:rsidRPr="00000000">
          <w:rPr>
            <w:color w:val="1155cc"/>
            <w:u w:val="single"/>
            <w:rtl w:val="0"/>
          </w:rPr>
          <w:t xml:space="preserve">https://docs.aws.amazon.com/AmazonS3/latest/userguide/disaster-recovery-resiliency.html</w:t>
        </w:r>
      </w:hyperlink>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Mostafa Mokhtar" w:id="4" w:date="2021-08-26T10:25:50Z">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Q6</w:t>
      </w:r>
    </w:p>
  </w:comment>
  <w:comment w:author="Mostafa Mokhtar" w:id="2" w:date="2021-08-26T10:26:12Z">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Q1-Q4</w:t>
      </w:r>
    </w:p>
  </w:comment>
  <w:comment w:author="Mostafa Mokhtar" w:id="3" w:date="2021-08-26T10:26:26Z">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Q5</w:t>
      </w:r>
    </w:p>
  </w:comment>
  <w:comment w:author="Mostafa Mokhtar" w:id="0" w:date="2021-08-26T15:03:18Z">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@mostafa.mokhtar@databricks.com</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 similar documentation for other cloud vendors</w:t>
      </w:r>
    </w:p>
  </w:comment>
  <w:comment w:author="Francois Raab" w:id="1" w:date="2021-08-26T16:45:23Z">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need for additional information about vendors that were not used for this benchmark result.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aws.amazon.com/s3/faqs/" TargetMode="External"/><Relationship Id="rId10" Type="http://schemas.openxmlformats.org/officeDocument/2006/relationships/hyperlink" Target="https://aws.amazon.com/s3/faqs/" TargetMode="External"/><Relationship Id="rId13" Type="http://schemas.openxmlformats.org/officeDocument/2006/relationships/hyperlink" Target="https://aws.amazon.com/s3/faqs/" TargetMode="Externa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aws.amazon.com/s3/faqs/" TargetMode="External"/><Relationship Id="rId15" Type="http://schemas.openxmlformats.org/officeDocument/2006/relationships/hyperlink" Target="https://docs.aws.amazon.com/AmazonS3/latest/userguide/disaster-recovery-resiliency.html" TargetMode="External"/><Relationship Id="rId14" Type="http://schemas.openxmlformats.org/officeDocument/2006/relationships/hyperlink" Target="https://aws.amazon.com/s3/sla/"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atabricks.com/wp-content/uploads/2020/08/p975-armbrust.pdf?_ga=2.121523471.662019019.1628844665-859316170.1605557543" TargetMode="External"/><Relationship Id="rId8" Type="http://schemas.openxmlformats.org/officeDocument/2006/relationships/hyperlink" Target="https://aws.amazon.com/s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